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DA6DF1" w:rsidP="00DA6DF1">
      <w:pPr>
        <w:widowControl/>
        <w:bidi w:val="0"/>
        <w:spacing w:after="240"/>
        <w:ind w:left="57" w:right="57"/>
        <w:jc w:val="center"/>
        <w:rPr>
          <w:rFonts w:ascii="Times New Roman" w:eastAsia="Times New Roman" w:hAnsi="Times New Roman" w:cs="Times New Roman"/>
          <w:b/>
          <w:bCs/>
        </w:rPr>
      </w:pPr>
      <w:r w:rsidRPr="00DA6DF1">
        <w:rPr>
          <w:rFonts w:ascii="Times New Roman" w:eastAsia="Times New Roman" w:hAnsi="Times New Roman" w:cs="Times New Roman"/>
          <w:b/>
          <w:bCs/>
          <w:rtl w:val="0"/>
          <w:lang w:val="en-US"/>
        </w:rPr>
        <w:t>Notice of material fact / Disclosure of insider information</w:t>
        <w:br/>
        <w:t xml:space="preserve"> "Information on decisions taken by the Board of Directors of PJSC "IDGC of the South"</w:t>
      </w:r>
    </w:p>
    <w:tbl>
      <w:tblPr>
        <w:tblOverlap w:val="never"/>
        <w:tblW w:w="5000" w:type="pct"/>
        <w:tblCellMar>
          <w:left w:w="10" w:type="dxa"/>
          <w:right w:w="10" w:type="dxa"/>
        </w:tblCellMar>
        <w:tblLook w:val="0000"/>
      </w:tblPr>
      <w:tblGrid>
        <w:gridCol w:w="4742"/>
        <w:gridCol w:w="1090"/>
        <w:gridCol w:w="1654"/>
        <w:gridCol w:w="2144"/>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bookmarkStart w:id="0" w:name="_GoBack"/>
            <w:bookmarkEnd w:id="0"/>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5075" w:rsidRPr="00503C91" w:rsidP="00503C91">
            <w:pPr>
              <w:widowControl/>
              <w:bidi w:val="0"/>
              <w:ind w:left="57" w:right="57"/>
              <w:jc w:val="center"/>
              <w:rPr>
                <w:rFonts w:ascii="Times New Roman" w:eastAsia="Times New Roman" w:hAnsi="Times New Roman" w:cs="Times New Roman"/>
              </w:rPr>
            </w:pPr>
            <w:r w:rsidRPr="00154FAD">
              <w:rPr>
                <w:rFonts w:ascii="Times New Roman" w:eastAsia="Times New Roman" w:hAnsi="Times New Roman" w:cs="Times New Roman"/>
                <w:rtl w:val="0"/>
                <w:lang w:val="en-US"/>
              </w:rPr>
              <w:t>2.</w:t>
              <w:tab/>
              <w:t>Statement content</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spacing w:after="24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2.1.</w:t>
              <w:tab/>
              <w:t xml:space="preserve">Quorum of the meeting of the Issuer's Board of Directors and results of voting on the issues of decision-making: </w:t>
            </w:r>
            <w:r w:rsidRPr="00676E14">
              <w:rPr>
                <w:rFonts w:ascii="Times New Roman" w:eastAsia="Times New Roman" w:hAnsi="Times New Roman" w:cs="Times New Roman"/>
                <w:b/>
                <w:i/>
                <w:iCs/>
                <w:rtl w:val="0"/>
                <w:lang w:val="en-US"/>
              </w:rPr>
              <w:t>11 of the 11 members of the Board of Directors took part in the meeting of the Board of Directors, there is a quorum.</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Voting results: </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1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- 11 votes</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“Against” - 0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2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-11 votes;</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“Against” - 0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3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- 11 votes</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“Against” - 0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4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- 11 votes</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“Against” - 0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5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- 11 votes</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“Against” - 0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6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- 11 votes</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“Against” - 0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7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- 11 votes</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“Against” - 0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“Abstained” - 0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8 </w:t>
            </w:r>
            <w:r w:rsidRPr="00676E14">
              <w:rPr>
                <w:rFonts w:ascii="Times New Roman" w:eastAsia="Times New Roman" w:hAnsi="Times New Roman" w:cs="Times New Roman"/>
                <w:rtl w:val="0"/>
                <w:lang w:val="en-US"/>
              </w:rPr>
              <w:t xml:space="preserve">of the </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agenda: “In favor” - 11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“Against”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on item № 9</w:t>
            </w:r>
            <w:r w:rsidRPr="00676E14">
              <w:rPr>
                <w:rFonts w:ascii="Times New Roman" w:eastAsia="Times New Roman" w:hAnsi="Times New Roman" w:cs="Times New Roman"/>
                <w:rtl w:val="0"/>
                <w:lang w:val="en-US"/>
              </w:rPr>
              <w:t xml:space="preserve"> of the agenda: </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- 11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“Against”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10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- 11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“Against”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11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- 11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“Against”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12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- 11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“Against”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13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- 9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“Against”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- 2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14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- 11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“Against”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15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- 11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“Against”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16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- 11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“Against”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17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- 9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“Against”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- 2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18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- 11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“Against”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19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- 9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“Against” - 2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20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- 11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“Against”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21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- 11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“Against”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“Abstained” - 0 votes; </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b/>
                <w:rtl w:val="0"/>
                <w:lang w:val="en-US"/>
              </w:rPr>
              <w:t xml:space="preserve">on item № 22 </w:t>
            </w:r>
            <w:r w:rsidRPr="00676E14">
              <w:rPr>
                <w:rFonts w:ascii="Times New Roman" w:eastAsia="Times New Roman" w:hAnsi="Times New Roman" w:cs="Times New Roman"/>
                <w:rtl w:val="0"/>
                <w:lang w:val="en-US"/>
              </w:rPr>
              <w:t>of the agenda:</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favor” - 11 votes</w:t>
            </w:r>
          </w:p>
          <w:p w:rsidR="00731E08"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“Against” - 0 votes; </w:t>
            </w:r>
          </w:p>
          <w:p w:rsidR="00731E08" w:rsidRPr="00676E14" w:rsidP="003506A8">
            <w:pPr>
              <w:widowControl/>
              <w:bidi w:val="0"/>
              <w:spacing w:after="24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“Abstained” - 0 votes;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1: "On convening of the annual General Meeting of the Company's Shareholders and determining the form of its holding."</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2.2.1</w:t>
              <w:tab/>
              <w:t>Content of the resolution adopted by the Issuer’s Board of Directors:</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Convocation of the annual General Meeting of the Company's Shareholders in the form of a meeting (joint attendance).</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2: "On determining the date, place and time of the annual General Meeting of the Company's Shareholders, the time of the beginning of registration of the participants of the annual General Meeting of the Company's Shareholders."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2.2.2</w:t>
              <w:tab/>
              <w:t>Content of the resolution adopted by the Issuer’s Board of Directors: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1.</w:t>
              <w:tab/>
              <w:t>To determine the date of the Annual General Meeting of the Company's Shareholders - June 9, 2018.</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w:t>
              <w:tab/>
              <w:t>To determine the place of the annual General Meeting of the Company's Shareholders - Russian Federation, Rostov-on-Don, ul. Vtoraya Krasnodarskaya, 147.</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3.</w:t>
              <w:tab/>
              <w:t>To determine the start time for registration of persons participating in the annual General Meeting of the Company's Shareholders - 09:00 local time.</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4.</w:t>
              <w:tab/>
              <w:t>To determine the time for the beginning of the annual General Meeting of the Company's Shareholders - 10:00 local time.</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3: "On determining the date of compilation of the list of persons entitled to participate in the annual General Meeting of Company's Shareholders."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2.2.3</w:t>
              <w:tab/>
              <w:t>Content of the resolution adopted by the Issuer’s Board of Directors:</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To approve the date of determination (fixation) of persons entitled to participate in the annual General meeting of the Company's Shareholders - May 15, 2018.</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4: "On determining the type (types) of preferred shares, whose owners have the right to vote on the agenda items of the annual General Meeting of the Company's Shareholders."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2.2.4</w:t>
              <w:tab/>
              <w:t>Content of the resolution adopted by the Issuer’s Board of Directors:</w:t>
            </w:r>
          </w:p>
          <w:p w:rsidR="00731E08" w:rsidRPr="00676E14" w:rsidP="00731E08">
            <w:pPr>
              <w:widowControl/>
              <w:bidi w:val="0"/>
              <w:spacing w:after="240"/>
              <w:ind w:left="57" w:right="57" w:firstLine="641"/>
              <w:jc w:val="both"/>
              <w:rPr>
                <w:rFonts w:ascii="Times New Roman" w:eastAsia="Times New Roman" w:hAnsi="Times New Roman" w:cs="Times New Roman"/>
              </w:rPr>
            </w:pPr>
            <w:r w:rsidRPr="00676E14">
              <w:rPr>
                <w:rFonts w:ascii="Times New Roman" w:eastAsia="Times New Roman" w:hAnsi="Times New Roman" w:cs="Times New Roman"/>
                <w:rtl w:val="0"/>
                <w:lang w:val="en-US"/>
              </w:rPr>
              <w:t>Due to the fact that preferred shares were not issued by the Company, decisions on determining the type (types) of preferred shares, whose owners have the right to vote on the agenda items of the annual General Meeting of the Company's Shareholders , shall not be taken.</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5: "On the definition of the agenda of the annual General Meeting of the Company's Shareholders."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2.2.5</w:t>
              <w:tab/>
              <w:t>Content of the resolution adopted by the Issuer’s Board of Directors: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To approve the following agenda of the annual General meeting of the Company's Shareholders: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1.</w:t>
              <w:tab/>
              <w:t>On approval of the annual report, of the annual accounting (financial) statements of the Company.</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w:t>
              <w:tab/>
              <w:t>On the distribution of profits (including payment (declaration) of dividends) and losses of the Company based on the results of 2017.</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3.</w:t>
              <w:tab/>
              <w:t>On election of members of the Company’s Board of Directors.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4.</w:t>
              <w:tab/>
              <w:t>On election of members of the Company’s Audit Commission.</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5.</w:t>
              <w:tab/>
              <w:t>On approval of auditor of the Company.</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6.</w:t>
              <w:tab/>
              <w:t>On approval of the Company's Charter in the new edition.</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7.</w:t>
              <w:tab/>
              <w:t>On approval of the Regulations on the Company’s Board of Directors in the new edition.</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8.</w:t>
              <w:tab/>
              <w:t>On approval of the Regulations on the Company's Management Board in the new edition.</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9.</w:t>
              <w:tab/>
              <w:t>On approval of the Regulation on payment of remuneration and compensation to members of the Company's Audit Commission in the new edition.</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6: "On the definition of the list of information (materials) provided to shareholders in preparation for the Annual General Meeting of Shareholders, and the procedure for its provision."</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2.2.6</w:t>
              <w:tab/>
              <w:t>Content of the resolution adopted by the Issuer’s Board of Directors: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1.</w:t>
              <w:tab/>
              <w:t>To determine that the information (materials) provided to persons entitled to participate in the annual General Meeting of the Company's Shareholders is: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the annual report of the Company and the conclusion of the Company's Audit Commission  on the results of its audit (on the reliability of data contained in the Company's annual report);</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annual accounting (financial) statements, auditor's report and the conclusion of the Company's Audit Commission based on the results of the audit of such reports;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assessment of the Company's Audit Committee  and of the conclusion of the auditor of the Company confirming reliability of the annual accounting (financial) statements of the Company made under RAS and IFRS;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conclusion  of the Company's Audit Committee on the level of efficiency and quality of the external audit process;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abstract of decision of the Board of Directors on the issue of preliminary approval of the Company's annual report for 2017 and recommendations to the annual General Meeting of Shareholders on its approval;</w:t>
            </w:r>
          </w:p>
          <w:p w:rsidR="00731E08"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recommendations of the Company's Board of Directors on the distribution of profits (losses) of the Company based on the results of 2017, including the size of the dividend on the Company's shares and the procedure for its payment, and in determining the date on which the persons entitled to receive dividends are determined;</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justification of the proposed distribution of net profit; the abstract of decision of the Board of Directors on the issue of annual financial statements for approval to the annual General Meeting of Shareholders and recommendations to the annual General Meeting of Shareholders on the distribution of the Company's profits (losses) for 2017;</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Information on candidates to the Company's Board of Directors and the Audit Commission of the Company or information on the failure of candidates to provide the specified information, including information about who each of the candidates has nominated, as well as information on the presence or absence of written consent of these candidates for nomination and election;</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the conclusion of the Company's HR and Remuneration Committee on the evaluation of candidates for membership in the Company's Board of Directors;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information on the candidate for the Company's auditors sufficient to form a representation of his professional qualities and independence, including the name of the self-regulatory organization of the auditor of which the candidate for the Company's auditors is a member, a description of the procedures used in selecting an external auditor that ensure his independence and objectivity, and information on the proposed remuneration of the external auditor for audit and non-audit services (including information on compensation payments and other expenses related to the engagement of the auditor) as well as other significant terms of contracts concluded with the Company's auditor;</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recommendations of the Company's Audit Committee regarding the candidature of the Company's auditor;</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Company's Charter in the current edition, the draft of the Company's Charter in a new edition, as well as a comparative table of the introduced amendments with their justification;</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Regulations of the Company's Board of Directors in the current edition, the draft Regulation of the Company's Board of Directors in a new edition, as well as a comparative table of the introduced amendments with their justification;</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Regulations on the Company's Management Board in the current edition, draft Regulations on the Company's Management Board in a new edition, as well as a comparative table of the introduced amendments with their justification;</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Regulations on payment of remuneration and compensation to the members of the Company's Audit Commission in the current edition, draft Regulations on payment of remuneration and compensation to members of the Company's Audit Commission, as well as a comparative table of amendments with their justification;</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report on the transactions concluded by the Company in 2017, in which there is an interest, including the conclusion of the Audit Commission confirming the reliability of the data contained in the report;</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information on shareholder agreements concluded during the year prior to the date of the General Meeting of Shareholders;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information on who proposed each item to the agenda of the annual General Meeting of Shareholders;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draft decisions and explanatory notes on the items of the General Meeting of Shareholders;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information on the passage to the venue of the General Meeting of Shareholders;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an approximate form of power of attorney, which a shareholder can issue to his representative and the procedure for its certification.</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w:t>
              <w:tab/>
              <w:t>To establish that persons with the right to participate in the annual General Meeting of the Company's Shareholders can be acquainted with this information (materials) from May 18, 2018 to June 08, 2018, from 10:00 to 16:00, except for weekends and holidays, as well as on June 9, 2018 during the meeting at the following addresses: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Rostov-on-Don, ul. Bolshaya Sadovaya, 49, PJSC "IDGC of the South";</w:t>
            </w:r>
          </w:p>
          <w:p w:rsidR="00731E08"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Rostov-on-Don, ul. Vtoraya Krasnodarskaya, 147, PJSC "IDGC of the South";</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Moscow, ul. Stromynka, 18, building 13, PLC "Registrar R.O.S.T." (the Company’s registrar).</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Astrakhan, ul. Krasnaya Naberezhnaya, 32 (branch of PJSC "IDGC of the South" - "Astrakhanenergo");</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Volgograd, Prospect Lenina, 15 (branch of PJSC "IDGC of the South" - "Volgogradenergo");</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Republic of Kalmykia, Elista, Northern Industrial Zone (branch of PJSC "IDGC of the South" - "Kalmenergo");</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as well as from May 18, 2018 on the Company's website in the information and communication network "Internet" at the address: </w:t>
            </w:r>
            <w:r>
              <w:fldChar w:fldCharType="begin"/>
            </w:r>
            <w:r>
              <w:rPr>
                <w:rtl w:val="0"/>
                <w:lang w:val="en-US"/>
              </w:rPr>
              <w:instrText xml:space="preserve"> HYPERLINK "http://www.mrsk-yuga.ru" </w:instrText>
            </w:r>
            <w:r>
              <w:fldChar w:fldCharType="separate"/>
            </w:r>
            <w:r w:rsidRPr="00676E14">
              <w:rPr>
                <w:rFonts w:ascii="Times New Roman" w:eastAsia="Times New Roman" w:hAnsi="Times New Roman" w:cs="Times New Roman"/>
                <w:rtl w:val="0"/>
                <w:lang w:val="en-US" w:eastAsia="en-US" w:bidi="en-US"/>
              </w:rPr>
              <w:t>www.mrsk-yuga.ru</w:t>
            </w:r>
            <w:r>
              <w:fldChar w:fldCharType="end"/>
            </w:r>
            <w:r w:rsidRPr="00676E14">
              <w:rPr>
                <w:rFonts w:ascii="Times New Roman" w:eastAsia="Times New Roman" w:hAnsi="Times New Roman" w:cs="Times New Roman"/>
                <w:rtl w:val="0"/>
                <w:lang w:val="en-US"/>
              </w:rPr>
              <w:t>.</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If the person registered in the Company’s shareholders register is the nominal shareholder, this information (materials) are sent by May 18, 2018 in electronic form (in the form of electronic documents signed by an electronic signature) to a nominal holder of shares.</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The specified information (materials) will also be available to persons entitled to participate in the annual General Meeting of the Company's Shareholders on the day of the annual General Meeting of the Company's Shareholders at the place of its holding.</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7: "On approval of the form and text of voting bulletins at the annual General Meeting of Shareholders, as well as wording of resolutions of the agenda of the annual General Meeting of Shareholders, which should be sent electronically (in the form of electronic documents) to nominal shareholders registered in the Company's Shareholders register."</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2.2.7</w:t>
              <w:tab/>
              <w:t>Content of the resolution adopted by the Issuer’s Board of Directors:</w:t>
            </w:r>
          </w:p>
          <w:p w:rsidR="00731E08" w:rsidRPr="00676E14" w:rsidP="003506A8">
            <w:pPr>
              <w:widowControl/>
              <w:bidi w:val="0"/>
              <w:ind w:left="57" w:right="57" w:firstLine="640"/>
              <w:jc w:val="both"/>
              <w:rPr>
                <w:rFonts w:ascii="Times New Roman" w:eastAsia="Times New Roman" w:hAnsi="Times New Roman" w:cs="Times New Roman"/>
              </w:rPr>
            </w:pPr>
            <w:r w:rsidRPr="00676E14">
              <w:rPr>
                <w:rFonts w:ascii="Times New Roman" w:eastAsia="Times New Roman" w:hAnsi="Times New Roman" w:cs="Times New Roman"/>
                <w:rtl w:val="0"/>
                <w:lang w:val="en-US"/>
              </w:rPr>
              <w:t>1.</w:t>
              <w:tab/>
              <w:t>To approve the form and text of the voting bulletins at the annual General Meeting of the Company's Shareholders in accordance with Appendices No. 1, 2, 3 to this resolution of the Company's Board of Directors.</w:t>
            </w:r>
          </w:p>
          <w:p w:rsidR="00731E08" w:rsidRPr="00676E14" w:rsidP="00731E08">
            <w:pPr>
              <w:widowControl/>
              <w:bidi w:val="0"/>
              <w:spacing w:after="240"/>
              <w:ind w:left="57" w:right="57" w:firstLine="640"/>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w:t>
              <w:tab/>
              <w:t>For sending in electronic form (in the form of electronic documents) to nominal shareholders registered in the register of shareholders, use the wording of the resolutions specified in the voting bulletins.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8: "On determining the date of sending voting bulletins to persons entitled to participate in the annual General Meeting of the Company's Shareholders, the address where completed voting bulletins can be sent, and the deadline for the receipt of completed voting bulletins."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2.2.8</w:t>
              <w:tab/>
              <w:t>Content of the resolution adopted by the Issuer’s Board of Directors: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1.</w:t>
              <w:tab/>
              <w:t>To determine that voting bulletins should be sent by registered mail (handed over against signature) to persons entitled to participate in the annual General Meeting of the Company's Shareholders, not later than May 18, 2018.</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w:t>
              <w:tab/>
              <w:t>To determine that completed voting ballots can be sent at one of the following addresses: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107996, Russian Federation, Moscow, ul. Stromynka, 18, building 13, PLC "Registrar R.O.S.T." (the Company’s registrar).</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344002, Russian Federation, Rostov-on-Don, ul. Bolshaya Sadovaya 49, PJSC "IGDC of the South";</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In addition, the owner of securities, the rights to which are accounted by the nominal holder, have the right to take part in the General Meeting of Shareholders personally or by giving instructions to the nominal holder to vote in a certain way, if this is provided for by an agreement concluded with a nominal holder. An electronic document on voting signed by an electronic signature must be sent by the owner of securities to the nominal holder's address.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3.</w:t>
              <w:tab/>
              <w:t xml:space="preserve">To identify the following address of the website in the information and telecommunication network "Internet" for filling in the electronic form of the bulletins - </w:t>
            </w:r>
            <w:r>
              <w:fldChar w:fldCharType="begin"/>
            </w:r>
            <w:r>
              <w:rPr>
                <w:rtl w:val="0"/>
                <w:lang w:val="en-US"/>
              </w:rPr>
              <w:instrText xml:space="preserve"> HYPERLINK "https://lk.rrost.ru/" </w:instrText>
            </w:r>
            <w:r>
              <w:fldChar w:fldCharType="separate"/>
            </w:r>
            <w:r w:rsidRPr="00676E14">
              <w:rPr>
                <w:rFonts w:ascii="Times New Roman" w:eastAsia="Times New Roman" w:hAnsi="Times New Roman" w:cs="Times New Roman"/>
                <w:rtl w:val="0"/>
                <w:lang w:val="en-US" w:eastAsia="en-US" w:bidi="en-US"/>
              </w:rPr>
              <w:t>https://lk.rrost.ru/</w:t>
            </w:r>
            <w:r>
              <w:fldChar w:fldCharType="end"/>
            </w:r>
            <w:r w:rsidRPr="00676E14">
              <w:rPr>
                <w:rFonts w:ascii="Times New Roman" w:eastAsia="Times New Roman" w:hAnsi="Times New Roman" w:cs="Times New Roman"/>
                <w:rtl w:val="0"/>
                <w:lang w:val="en-US"/>
              </w:rPr>
              <w:t>.</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4.</w:t>
              <w:tab/>
              <w:t>When determining the quorum and summarizing the voting results, the votes represented by the voting bulletins are taken into account, or by other methods established by law received no later than June 06, 2018.</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5.</w:t>
              <w:tab/>
              <w:t>To instruct the Company's sole executive body to ensure that voting bulletins are sent to the Company's Shareholders in accordance with this resolution.</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9: "On determining the procedure for notifying the Company's Shareholders of the General Meeting of Shareholders, including approval of the form and text of the notice."</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2.2.9</w:t>
              <w:tab/>
              <w:t>Content of the resolution adopted by the Issuer’s Board of Directors: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1.</w:t>
              <w:tab/>
              <w:t>To approve the form and text of the notice on holding the annual General Meeting of the Company's Shareholders in accordance with Appendix No. 4 to this resolution of the Company's Board of Directors.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w:t>
              <w:tab/>
              <w:t>To inform the persons entitled to participate in the annual General Meeting of the Company's Shareholders of holding an annual General Meeting of the Company's Shareholders: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 xml:space="preserve">to post a notice on the Company's website on the Internet </w:t>
            </w:r>
            <w:r>
              <w:fldChar w:fldCharType="begin"/>
            </w:r>
            <w:r>
              <w:rPr>
                <w:rtl w:val="0"/>
                <w:lang w:val="en-US"/>
              </w:rPr>
              <w:instrText xml:space="preserve"> HYPERLINK "http://www.mrsk-yuga.ru" </w:instrText>
            </w:r>
            <w:r>
              <w:fldChar w:fldCharType="separate"/>
            </w:r>
            <w:r w:rsidRPr="00676E14">
              <w:rPr>
                <w:rFonts w:ascii="Times New Roman" w:eastAsia="Times New Roman" w:hAnsi="Times New Roman" w:cs="Times New Roman"/>
                <w:rtl w:val="0"/>
                <w:lang w:val="en-US" w:eastAsia="en-US" w:bidi="en-US"/>
              </w:rPr>
              <w:t>www.mrsk-yuga.ru</w:t>
            </w:r>
            <w:r>
              <w:fldChar w:fldCharType="end"/>
            </w:r>
            <w:r w:rsidRPr="00676E14">
              <w:rPr>
                <w:rFonts w:ascii="Times New Roman" w:eastAsia="Times New Roman" w:hAnsi="Times New Roman" w:cs="Times New Roman"/>
                <w:rtl w:val="0"/>
                <w:lang w:val="en-US"/>
              </w:rPr>
              <w:t xml:space="preserve"> no later than May 9, 2018;</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to send a message in electronic form to email addresses to persons who reported information about e-mail addresses to the Company or registrar.</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If a person registered in the Company's shareholder register is a nominal shareholder, the notice of the annual General Meeting of the Company's Shareholders shall be sent in electronic form (in the form of electronic documents signed by an electronic signature) to the nominal shareholder no later than May 9, 2018.</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10: "On election of the secretary of the annual General Meeting of the Company's Shareholders."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2.2.10.</w:t>
              <w:tab/>
              <w:t>Content of the resolution adopted by the Issuer’s Board of Directors:</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To elect Pavlova Elena Nikolaevna - Corporate Secretary of the Company, as a Secretary of the annual General meeting of the Company's Shareholders.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11: "On approval of the estimate of costs associated with the preparation and holding of the annual General Meeting of the Company's Shareholders."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2.2.11.</w:t>
              <w:tab/>
              <w:t>Content of the resolution adopted by the Issuer’s Board of Directors: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1.</w:t>
              <w:tab/>
              <w:t>To approve the estimate of costs associated with the preparation and holding of the annual General Meeting of the Company's Shareholders, in accordance with Appendix No. 5 to this resolution of the Company's Board of Directors.</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w:t>
              <w:tab/>
              <w:t>The General Director of the Company shall, not later than two months after the annual General Meeting of the Company's Shareholders, submit to the Board of Directors a report on the expenditure of funds for the preparation and holding of the annual General Meeting of Shareholders in accordance with Appendix No. 6 to this resolution of the Company's Board of Directors.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12: "On approval of the terms of the agreement with the Company's registrar."</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2.2.12.</w:t>
              <w:tab/>
              <w:t>Content of the resolution adopted by the Issuer’s Board of Directors: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1.</w:t>
              <w:tab/>
              <w:t>To approve the terms and conditions of the contract for the provision of services for the preparation and holding of the annual General Meeting of the Company's Shareholders with the Company's registrar in accordance with Appendix No. 7 to this resolution of the Company's Board of Directors.</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w:t>
              <w:tab/>
              <w:t>Instruct the General Director of the Company to sign a contract for the provision of services for the preparation and holding of the annual General Meeting of the Company Shareholders with the Company's registrar on terms and conditions in accordance with Appendix No. 7 to this resolution of the Company's Board of Directors.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13: "On approval of the report on transactions concluded by the Company in 2017, in implementation of which there is an interest."</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2.2.13.</w:t>
              <w:tab/>
              <w:t>Content of the resolution adopted by the Issuer’s Board of Directors:</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To approve the report on transactions concluded by the Company in 2017, in which there is an interest, in accordance with Appendix No. 8 to this resolution of the Company's Board of Directors.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14: "On the preliminary approval of the Company's annual report for 2017."</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2.2.14.</w:t>
              <w:tab/>
              <w:t>Content of the resolution adopted by the Issuer’s Board of Directors:</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Preliminarily approve the Company's annual report for 2017 and recommend to the annual General Meeting of the Company's Shareholders to approve the annual report in accordance with Appendix No. 9 to this resolution of the Company's Board of Directors.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15: "On consideration of the annual accounting (financial) statements of the Company for 2017."</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2.2.15.</w:t>
              <w:tab/>
              <w:t>Content of the resolution adopted by the Issuer’s Board of Directors:</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Preliminarily approve and submit for approval by the annual General Meeting of the Company's Shareholders the annual accounting (financial) statements of the Company for 2017 in accordance with Appendix No. 10 to this resolution of the Company's Board of Directors.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16: "On the recommendations for the distribution of profits (losses) of the Company based on the results of 2017."</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2.2.16.</w:t>
              <w:tab/>
              <w:t>Content of the resolution adopted by the Issuer’s Board of Directors:</w:t>
            </w:r>
          </w:p>
          <w:p w:rsidR="00731E08" w:rsidP="003506A8">
            <w:pPr>
              <w:widowControl/>
              <w:bidi w:val="0"/>
              <w:ind w:left="57" w:right="57" w:firstLine="640"/>
              <w:jc w:val="both"/>
              <w:rPr>
                <w:rFonts w:ascii="Times New Roman" w:eastAsia="Times New Roman" w:hAnsi="Times New Roman" w:cs="Times New Roman"/>
              </w:rPr>
            </w:pPr>
            <w:r w:rsidRPr="00676E14">
              <w:rPr>
                <w:rFonts w:ascii="Times New Roman" w:eastAsia="Times New Roman" w:hAnsi="Times New Roman" w:cs="Times New Roman"/>
                <w:rtl w:val="0"/>
                <w:lang w:val="en-US"/>
              </w:rPr>
              <w:t>To recommend to the annual General Meeting of the Company's Shareholders to approve the following distribution of the Company's profits (losses) for the 2017 accounting year:</w:t>
            </w:r>
          </w:p>
          <w:tbl>
            <w:tblPr>
              <w:tblOverlap w:val="never"/>
              <w:tblW w:w="5000" w:type="pct"/>
              <w:tblCellMar>
                <w:left w:w="10" w:type="dxa"/>
                <w:right w:w="10" w:type="dxa"/>
              </w:tblCellMar>
              <w:tblLook w:val="0000"/>
            </w:tblPr>
            <w:tblGrid>
              <w:gridCol w:w="7442"/>
              <w:gridCol w:w="2158"/>
            </w:tblGrid>
            <w:tr w:rsidTr="003506A8">
              <w:tblPrEx>
                <w:tblW w:w="5000" w:type="pct"/>
                <w:tblCellMar>
                  <w:left w:w="10" w:type="dxa"/>
                  <w:right w:w="10" w:type="dxa"/>
                </w:tblCellMar>
                <w:tblLook w:val="0000"/>
              </w:tblPrEx>
              <w:trPr>
                <w:trHeight w:val="20"/>
              </w:trPr>
              <w:tc>
                <w:tcPr>
                  <w:tcW w:w="3876" w:type="pct"/>
                  <w:tcBorders>
                    <w:top w:val="single" w:sz="4" w:space="0" w:color="auto"/>
                    <w:left w:val="single" w:sz="4" w:space="0" w:color="auto"/>
                  </w:tcBorders>
                  <w:shd w:val="clear" w:color="auto" w:fill="FFFFFF"/>
                  <w:vAlign w:val="center"/>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Name</w:t>
                  </w:r>
                </w:p>
              </w:tc>
              <w:tc>
                <w:tcPr>
                  <w:tcW w:w="1124" w:type="pct"/>
                  <w:tcBorders>
                    <w:top w:val="single" w:sz="4" w:space="0" w:color="auto"/>
                    <w:left w:val="single" w:sz="4" w:space="0" w:color="auto"/>
                    <w:right w:val="single" w:sz="4" w:space="0" w:color="auto"/>
                  </w:tcBorders>
                  <w:shd w:val="clear" w:color="auto" w:fill="FFFFFF"/>
                  <w:vAlign w:val="center"/>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(RUB '000)</w:t>
                  </w:r>
                </w:p>
              </w:tc>
            </w:tr>
            <w:tr w:rsidTr="003506A8">
              <w:tblPrEx>
                <w:tblW w:w="5000" w:type="pct"/>
                <w:tblCellMar>
                  <w:left w:w="10" w:type="dxa"/>
                  <w:right w:w="10" w:type="dxa"/>
                </w:tblCellMar>
                <w:tblLook w:val="0000"/>
              </w:tblPrEx>
              <w:trPr>
                <w:trHeight w:val="20"/>
              </w:trPr>
              <w:tc>
                <w:tcPr>
                  <w:tcW w:w="3876" w:type="pct"/>
                  <w:tcBorders>
                    <w:top w:val="single" w:sz="4" w:space="0" w:color="auto"/>
                    <w:left w:val="single" w:sz="4" w:space="0" w:color="auto"/>
                  </w:tcBorders>
                  <w:shd w:val="clear" w:color="auto" w:fill="FFFFFF"/>
                  <w:vAlign w:val="center"/>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Undistributed profit (loss) of the reporting period:</w:t>
                  </w:r>
                </w:p>
              </w:tc>
              <w:tc>
                <w:tcPr>
                  <w:tcW w:w="1124" w:type="pct"/>
                  <w:tcBorders>
                    <w:top w:val="single" w:sz="4" w:space="0" w:color="auto"/>
                    <w:left w:val="single" w:sz="4" w:space="0" w:color="auto"/>
                    <w:right w:val="single" w:sz="4" w:space="0" w:color="auto"/>
                  </w:tcBorders>
                  <w:shd w:val="clear" w:color="auto" w:fill="FFFFFF"/>
                  <w:vAlign w:val="center"/>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511,438</w:t>
                  </w:r>
                </w:p>
              </w:tc>
            </w:tr>
            <w:tr w:rsidTr="003506A8">
              <w:tblPrEx>
                <w:tblW w:w="5000" w:type="pct"/>
                <w:tblCellMar>
                  <w:left w:w="10" w:type="dxa"/>
                  <w:right w:w="10" w:type="dxa"/>
                </w:tblCellMar>
                <w:tblLook w:val="0000"/>
              </w:tblPrEx>
              <w:trPr>
                <w:trHeight w:val="20"/>
              </w:trPr>
              <w:tc>
                <w:tcPr>
                  <w:tcW w:w="3876" w:type="pct"/>
                  <w:tcBorders>
                    <w:top w:val="single" w:sz="4" w:space="0" w:color="auto"/>
                    <w:left w:val="single" w:sz="4" w:space="0" w:color="auto"/>
                  </w:tcBorders>
                  <w:shd w:val="clear" w:color="auto" w:fill="FFFFFF"/>
                  <w:vAlign w:val="center"/>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Distribute to:</w:t>
                    <w:tab/>
                    <w:t>Reserve fund</w:t>
                  </w:r>
                </w:p>
              </w:tc>
              <w:tc>
                <w:tcPr>
                  <w:tcW w:w="1124" w:type="pct"/>
                  <w:tcBorders>
                    <w:top w:val="single" w:sz="4" w:space="0" w:color="auto"/>
                    <w:left w:val="single" w:sz="4" w:space="0" w:color="auto"/>
                    <w:right w:val="single" w:sz="4" w:space="0" w:color="auto"/>
                  </w:tcBorders>
                  <w:shd w:val="clear" w:color="auto" w:fill="FFFFFF"/>
                  <w:vAlign w:val="center"/>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25,572</w:t>
                  </w:r>
                </w:p>
              </w:tc>
            </w:tr>
            <w:tr w:rsidTr="003506A8">
              <w:tblPrEx>
                <w:tblW w:w="5000" w:type="pct"/>
                <w:tblCellMar>
                  <w:left w:w="10" w:type="dxa"/>
                  <w:right w:w="10" w:type="dxa"/>
                </w:tblCellMar>
                <w:tblLook w:val="0000"/>
              </w:tblPrEx>
              <w:trPr>
                <w:trHeight w:val="20"/>
              </w:trPr>
              <w:tc>
                <w:tcPr>
                  <w:tcW w:w="3876" w:type="pct"/>
                  <w:tcBorders>
                    <w:top w:val="single" w:sz="4" w:space="0" w:color="auto"/>
                    <w:left w:val="single" w:sz="4" w:space="0" w:color="auto"/>
                  </w:tcBorders>
                  <w:shd w:val="clear" w:color="auto" w:fill="FFFFFF"/>
                  <w:vAlign w:val="center"/>
                </w:tcPr>
                <w:p w:rsidR="00731E08" w:rsidRPr="00676E14" w:rsidP="003506A8">
                  <w:pPr>
                    <w:widowControl/>
                    <w:bidi w:val="0"/>
                    <w:ind w:left="57" w:right="57" w:firstLine="2069"/>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Profit for development </w:t>
                  </w:r>
                </w:p>
              </w:tc>
              <w:tc>
                <w:tcPr>
                  <w:tcW w:w="1124" w:type="pct"/>
                  <w:tcBorders>
                    <w:top w:val="single" w:sz="4" w:space="0" w:color="auto"/>
                    <w:left w:val="single" w:sz="4" w:space="0" w:color="auto"/>
                    <w:right w:val="single" w:sz="4" w:space="0" w:color="auto"/>
                  </w:tcBorders>
                  <w:shd w:val="clear" w:color="auto" w:fill="FFFFFF"/>
                  <w:vAlign w:val="center"/>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108,607</w:t>
                  </w:r>
                </w:p>
              </w:tc>
            </w:tr>
            <w:tr w:rsidTr="003506A8">
              <w:tblPrEx>
                <w:tblW w:w="5000" w:type="pct"/>
                <w:tblCellMar>
                  <w:left w:w="10" w:type="dxa"/>
                  <w:right w:w="10" w:type="dxa"/>
                </w:tblCellMar>
                <w:tblLook w:val="0000"/>
              </w:tblPrEx>
              <w:trPr>
                <w:trHeight w:val="20"/>
              </w:trPr>
              <w:tc>
                <w:tcPr>
                  <w:tcW w:w="3876" w:type="pct"/>
                  <w:tcBorders>
                    <w:top w:val="single" w:sz="4" w:space="0" w:color="auto"/>
                    <w:left w:val="single" w:sz="4" w:space="0" w:color="auto"/>
                  </w:tcBorders>
                  <w:shd w:val="clear" w:color="auto" w:fill="FFFFFF"/>
                  <w:vAlign w:val="center"/>
                </w:tcPr>
                <w:p w:rsidR="00731E08" w:rsidRPr="00676E14" w:rsidP="003506A8">
                  <w:pPr>
                    <w:widowControl/>
                    <w:bidi w:val="0"/>
                    <w:ind w:left="57" w:right="57" w:firstLine="2069"/>
                    <w:jc w:val="both"/>
                    <w:rPr>
                      <w:rFonts w:ascii="Times New Roman" w:eastAsia="Times New Roman" w:hAnsi="Times New Roman" w:cs="Times New Roman"/>
                    </w:rPr>
                  </w:pPr>
                  <w:r w:rsidRPr="00676E14">
                    <w:rPr>
                      <w:rFonts w:ascii="Times New Roman" w:eastAsia="Times New Roman" w:hAnsi="Times New Roman" w:cs="Times New Roman"/>
                      <w:rtl w:val="0"/>
                      <w:lang w:val="en-US"/>
                    </w:rPr>
                    <w:t>Dividends</w:t>
                  </w:r>
                </w:p>
              </w:tc>
              <w:tc>
                <w:tcPr>
                  <w:tcW w:w="1124" w:type="pct"/>
                  <w:tcBorders>
                    <w:top w:val="single" w:sz="4" w:space="0" w:color="auto"/>
                    <w:left w:val="single" w:sz="4" w:space="0" w:color="auto"/>
                    <w:right w:val="single" w:sz="4" w:space="0" w:color="auto"/>
                  </w:tcBorders>
                  <w:shd w:val="clear" w:color="auto" w:fill="FFFFFF"/>
                  <w:vAlign w:val="center"/>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377,259</w:t>
                  </w:r>
                </w:p>
              </w:tc>
            </w:tr>
            <w:tr w:rsidTr="003506A8">
              <w:tblPrEx>
                <w:tblW w:w="5000" w:type="pct"/>
                <w:tblCellMar>
                  <w:left w:w="10" w:type="dxa"/>
                  <w:right w:w="10" w:type="dxa"/>
                </w:tblCellMar>
                <w:tblLook w:val="0000"/>
              </w:tblPrEx>
              <w:trPr>
                <w:trHeight w:val="20"/>
              </w:trPr>
              <w:tc>
                <w:tcPr>
                  <w:tcW w:w="3876" w:type="pct"/>
                  <w:tcBorders>
                    <w:top w:val="single" w:sz="4" w:space="0" w:color="auto"/>
                    <w:left w:val="single" w:sz="4" w:space="0" w:color="auto"/>
                    <w:bottom w:val="single" w:sz="4" w:space="0" w:color="auto"/>
                  </w:tcBorders>
                  <w:shd w:val="clear" w:color="auto" w:fill="FFFFFF"/>
                  <w:vAlign w:val="center"/>
                </w:tcPr>
                <w:p w:rsidR="00731E08" w:rsidRPr="00676E14" w:rsidP="003506A8">
                  <w:pPr>
                    <w:widowControl/>
                    <w:bidi w:val="0"/>
                    <w:ind w:left="57" w:right="57" w:firstLine="2069"/>
                    <w:jc w:val="both"/>
                    <w:rPr>
                      <w:rFonts w:ascii="Times New Roman" w:eastAsia="Times New Roman" w:hAnsi="Times New Roman" w:cs="Times New Roman"/>
                    </w:rPr>
                  </w:pPr>
                  <w:r w:rsidRPr="00676E14">
                    <w:rPr>
                      <w:rFonts w:ascii="Times New Roman" w:eastAsia="Times New Roman" w:hAnsi="Times New Roman" w:cs="Times New Roman"/>
                      <w:rtl w:val="0"/>
                      <w:lang w:val="en-US"/>
                    </w:rPr>
                    <w:t xml:space="preserve">Clearing off losses of previous years </w:t>
                  </w:r>
                </w:p>
              </w:tc>
              <w:tc>
                <w:tcPr>
                  <w:tcW w:w="1124" w:type="pct"/>
                  <w:tcBorders>
                    <w:top w:val="single" w:sz="4" w:space="0" w:color="auto"/>
                    <w:left w:val="single" w:sz="4" w:space="0" w:color="auto"/>
                    <w:bottom w:val="single" w:sz="4" w:space="0" w:color="auto"/>
                    <w:right w:val="single" w:sz="4" w:space="0" w:color="auto"/>
                  </w:tcBorders>
                  <w:shd w:val="clear" w:color="auto" w:fill="FFFFFF"/>
                  <w:vAlign w:val="center"/>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r>
                </w:p>
              </w:tc>
            </w:tr>
          </w:tbl>
          <w:p w:rsidR="00731E08" w:rsidP="003506A8">
            <w:pPr>
              <w:widowControl/>
              <w:ind w:right="57"/>
              <w:jc w:val="both"/>
              <w:rPr>
                <w:rFonts w:ascii="Times New Roman" w:eastAsia="Times New Roman" w:hAnsi="Times New Roman" w:cs="Times New Roman"/>
              </w:rPr>
            </w:pPr>
          </w:p>
          <w:p w:rsidR="00731E08" w:rsidRPr="00676E14" w:rsidP="003506A8">
            <w:pPr>
              <w:widowControl/>
              <w:ind w:right="57"/>
              <w:jc w:val="both"/>
              <w:rPr>
                <w:rFonts w:ascii="Times New Roman" w:eastAsia="Times New Roman" w:hAnsi="Times New Roman" w:cs="Times New Roman"/>
              </w:rPr>
            </w:pP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recommendations regarding the amount of dividends on the shares of the issuer being a joint-stock company and the procedure for their payment / On the proposal to the General Meeting of shareholders of the issuer being a joint-stock company, to determine in a resolution on payment (declaration) of dividends a certain date for which persons entitled to receipt of dividends / Disclosure of insider information on issue No. 17: "On recommendations on the amount of dividends on the Company's shares for the 2017, the procedure for their payment and proposals to the annual General Meeting of Shareholders on determining the date on which the persons entitled to receive dividends are determined."</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Pr>
                <w:rFonts w:ascii="Times New Roman" w:eastAsia="Times New Roman" w:hAnsi="Times New Roman" w:cs="Times New Roman"/>
                <w:rtl w:val="0"/>
                <w:lang w:val="en-US" w:eastAsia="en-US" w:bidi="en-US"/>
              </w:rPr>
              <w:t>2.2.17.</w:t>
              <w:tab/>
              <w:t>Content of the resolution adopted by the Issuer’s Board of Directors: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To recommend the annual General meeting of shareholders to make the following decision:</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1.</w:t>
              <w:tab/>
              <w:t>To pay dividends on ordinary shares following the results of 2017 in the amount of 377,259 thousand rubles in cash. The amount of the dividend paid per one share is defined as the ratio of the dividend amount (377,259 thousand rubles) to the total number of the Company's ordinary shares owned by the shareholders included in the list of persons entitled to receive dividends.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Period of payment of dividends to a nominal holder being a professional participant of the securities market to the trustee is no more than 10 working days, other registered shareholders in the register - 25 working days from the date of drawing up the list of persons entitled to receive dividends.</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w:t>
              <w:tab/>
              <w:t>To determine the date of drawing up the list of persons entitled to receive dividends - June 20, 2018</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18: "On consideration of the candidature of the Company's auditor."</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2.2.18.</w:t>
              <w:tab/>
              <w:t>Content of the resolution adopted by the Issuer’s Board of Directors:</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To propose to the annual General Meeting of the Company's Shareholders to approve OOO "Ernst &amp; Young" (Russia, 115035, Moscow, Sadovnicheskaya Naberezhnaya, 77, building 1) as the auditor of PJSC "IGDC of the South".</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approval of the agenda of the General Meeting of the Issuer's participants (shareholders) that is an economic company, as well as other decisions related to the preparation, convocation and holding of a General Meeting of participants (shareholders) of such Issuer / Disclosure of insider information on item No. 19: "On consideration of the draft of the Company's Charter in a new edition.</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2.2.19.</w:t>
              <w:tab/>
              <w:t>Content of the resolution adopted by the Issuer’s Board of Directors:</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To propose to the annual General Meeting of the Company's Shareholders to approve the new edition of the Company's Charter (Appendix No. 11 to this resolution of the Company's Board of Directors).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submitting to the general meeting of shareholders issues of the Issuer that is a joint-stock company (on the proposal to the general meeting of shareholders of the issuer that is a joint-stock company to take decisions on issues) indicated in subclause 19 of paragraph 1 of Article 48 of the Federal Law "On Joint Stock Companies" as well as the issue of transferring the powers of the sole executive body of such issuer to the managing organization or the manager / Disclosure of insider information on issue No. 20: "On consideration of the draft of the Regulations of the Company's Board of Directors  in a new edition."</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2.2.20.</w:t>
              <w:tab/>
              <w:t>Content of the resolution adopted by the Issuer’s Board of Directors:</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To propose to the annual General Meeting of the Company's Shareholders to approve the Regulations of the Company's Board of Directors in a new edition (Appendix No. 11 to this resolution of the Company's Board of Directors).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submitting to the general meeting of shareholders issues of the Issuer that is a joint-stock company (on the proposal to the general meeting of shareholders of the issuer that is a joint-stock company to take decisions on issues) indicated in subclause 19 of paragraph 1 of Article 48 of the Federal Law "On Joint Stock Companies" as well as the issue of transferring the powers of the sole executive body of such issuer to the managing organization or the manager / Disclosure of insider information on issue No. 21: "On consideration of the draft Regulation on the Company's Management Board in a new edition."</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2.2.21.</w:t>
              <w:tab/>
              <w:t>Content of the resolution adopted by the Issuer’s Board of Directors:</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To propose to the annual General Meeting of the Company's Shareholders To approve the Regulations on the Company's Management Board in the new edition (Appendix No. 11 to this resolution of the Company's Board of Directors).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731E08">
            <w:pPr>
              <w:widowControl/>
              <w:bidi w:val="0"/>
              <w:ind w:left="57" w:right="57"/>
              <w:jc w:val="center"/>
              <w:rPr>
                <w:rFonts w:ascii="Times New Roman" w:eastAsia="Times New Roman" w:hAnsi="Times New Roman" w:cs="Times New Roman"/>
                <w:b/>
              </w:rPr>
            </w:pPr>
            <w:r w:rsidRPr="00676E14">
              <w:rPr>
                <w:rFonts w:ascii="Times New Roman" w:eastAsia="Times New Roman" w:hAnsi="Times New Roman" w:cs="Times New Roman"/>
                <w:b/>
                <w:rtl w:val="0"/>
                <w:lang w:val="en-US"/>
              </w:rPr>
              <w:t>On submitting to the general meeting of shareholders issues of the Issuer that is a joint-stock company (on the proposal to the general meeting of shareholders of the issuer that is a joint-stock company to take decisions on issues) indicated in subclause 19 of paragraph 1 of Article 48 of the Federal Law "On Joint Stock Companies" as well as the issue of transferring the powers of the sole executive body of such issuer to the managing organization or the manager / Disclosure of insider information on issue No. 22: "On consideration of the draft Regulations on payment of remuneration and compensation to members of the Company's Audit Commission in a new edition."</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2.2.22.</w:t>
              <w:tab/>
              <w:t>Content of the resolution adopted by the Issuer’s Board of Directors:</w:t>
            </w:r>
          </w:p>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To propose to the Annual General Meeting of the Company's Shareholders: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1.</w:t>
              <w:tab/>
              <w:t>To approve the Regulation on payment of remuneration and compensation to members of the Company's Audit Commission in the new edition (Appendix No. 14 to this resolution of the Company's Board of Directors).</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w:t>
              <w:tab/>
              <w:t>To establish that this Regulation on payment of remunerations and compensations to members of the Company's Audit Commission in a new edition applies to members of the Company's Audit Commission elected at current and subsequent General Meetings of the Company's Shareholders.</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2.3.</w:t>
              <w:tab/>
              <w:t xml:space="preserve">Date of the meeting of the Issuer’s Board of Directors, at which the respective resolutions were adopted: </w:t>
            </w:r>
            <w:r w:rsidRPr="00676E14">
              <w:rPr>
                <w:rFonts w:ascii="Times New Roman" w:eastAsia="Times New Roman" w:hAnsi="Times New Roman" w:cs="Times New Roman"/>
                <w:b/>
                <w:i/>
                <w:iCs/>
                <w:rtl w:val="0"/>
                <w:lang w:val="en-US"/>
              </w:rPr>
              <w:t>May 04, 2018.</w:t>
            </w:r>
          </w:p>
          <w:p w:rsidR="00731E08" w:rsidRPr="00676E14" w:rsidP="00731E08">
            <w:pPr>
              <w:widowControl/>
              <w:bidi w:val="0"/>
              <w:spacing w:after="24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2.4.</w:t>
              <w:tab/>
              <w:t xml:space="preserve">Date of drafting and number of the minutes of the meeting of the Issuer’s Board of Directors, at which the respective resolutions were adopted: </w:t>
            </w:r>
            <w:r w:rsidRPr="00676E14">
              <w:rPr>
                <w:rFonts w:ascii="Times New Roman" w:eastAsia="Times New Roman" w:hAnsi="Times New Roman" w:cs="Times New Roman"/>
                <w:b/>
                <w:i/>
                <w:iCs/>
                <w:rtl w:val="0"/>
                <w:lang w:val="en-US"/>
              </w:rPr>
              <w:t>May 07, 2018, protocol No. 272/2018.</w:t>
            </w:r>
          </w:p>
        </w:tc>
      </w:tr>
      <w:tr w:rsidTr="003506A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731E08" w:rsidRPr="00676E14" w:rsidP="003506A8">
            <w:pPr>
              <w:widowControl/>
              <w:bidi w:val="0"/>
              <w:ind w:left="57" w:right="57"/>
              <w:jc w:val="both"/>
              <w:rPr>
                <w:rFonts w:ascii="Times New Roman" w:eastAsia="Times New Roman" w:hAnsi="Times New Roman" w:cs="Times New Roman"/>
              </w:rPr>
            </w:pPr>
            <w:r w:rsidRPr="00676E14">
              <w:rPr>
                <w:rFonts w:ascii="Times New Roman" w:eastAsia="Times New Roman" w:hAnsi="Times New Roman" w:cs="Times New Roman"/>
                <w:rtl w:val="0"/>
                <w:lang w:val="en-US"/>
              </w:rPr>
              <w:t>2.5.</w:t>
              <w:tab/>
              <w:t>Identification signs of the shares whose holders are entitled to participate the general meeting of the issuer’s shareholders:</w:t>
            </w:r>
          </w:p>
          <w:p w:rsidR="00731E08" w:rsidRPr="00676E14" w:rsidP="003506A8">
            <w:pPr>
              <w:widowControl/>
              <w:bidi w:val="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ordinary registered uncertified shares, issue registration number 1-01-349-56-Е of September 20, 2007, International Securities Identification Number (ISIN) RU000A0JPPG8.</w:t>
            </w:r>
          </w:p>
          <w:p w:rsidR="00731E08" w:rsidRPr="00676E14" w:rsidP="00731E08">
            <w:pPr>
              <w:widowControl/>
              <w:bidi w:val="0"/>
              <w:spacing w:after="240"/>
              <w:ind w:left="57" w:right="57" w:firstLine="652"/>
              <w:jc w:val="both"/>
              <w:rPr>
                <w:rFonts w:ascii="Times New Roman" w:eastAsia="Times New Roman" w:hAnsi="Times New Roman" w:cs="Times New Roman"/>
              </w:rPr>
            </w:pPr>
            <w:r w:rsidRPr="00676E14">
              <w:rPr>
                <w:rFonts w:ascii="Times New Roman" w:eastAsia="Times New Roman" w:hAnsi="Times New Roman" w:cs="Times New Roman"/>
                <w:rtl w:val="0"/>
                <w:lang w:val="en-US"/>
              </w:rPr>
              <w:t>-</w:t>
              <w:tab/>
              <w:t>ordinary registered uncertified shares, issue registration number 1-01-349-56-Е of June 01, 2017, International Securities Identification Number (ISIN) RU000A0JPPG8.</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283D36">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March 07,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p>
    <w:sectPr w:rsidSect="00283D36">
      <w:pgSz w:w="11909" w:h="16834"/>
      <w:pgMar w:top="567" w:right="851" w:bottom="567" w:left="1418"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E5E0E"/>
    <w:multiLevelType w:val="hybridMultilevel"/>
    <w:tmpl w:val="2342E5A8"/>
    <w:lvl w:ilvl="0">
      <w:start w:val="7"/>
      <w:numFmt w:val="decimal"/>
      <w:lvlText w:val="%1."/>
      <w:lvlJc w:val="left"/>
      <w:pPr>
        <w:ind w:left="1057" w:hanging="360"/>
      </w:pPr>
      <w:rPr>
        <w:rFonts w:hint="default"/>
      </w:rPr>
    </w:lvl>
    <w:lvl w:ilvl="1" w:tentative="1">
      <w:start w:val="1"/>
      <w:numFmt w:val="lowerLetter"/>
      <w:lvlText w:val="%2."/>
      <w:lvlJc w:val="left"/>
      <w:pPr>
        <w:ind w:left="1777" w:hanging="360"/>
      </w:pPr>
    </w:lvl>
    <w:lvl w:ilvl="2" w:tentative="1">
      <w:start w:val="1"/>
      <w:numFmt w:val="lowerRoman"/>
      <w:lvlText w:val="%3."/>
      <w:lvlJc w:val="right"/>
      <w:pPr>
        <w:ind w:left="2497" w:hanging="180"/>
      </w:pPr>
    </w:lvl>
    <w:lvl w:ilvl="3" w:tentative="1">
      <w:start w:val="1"/>
      <w:numFmt w:val="decimal"/>
      <w:lvlText w:val="%4."/>
      <w:lvlJc w:val="left"/>
      <w:pPr>
        <w:ind w:left="3217" w:hanging="360"/>
      </w:pPr>
    </w:lvl>
    <w:lvl w:ilvl="4" w:tentative="1">
      <w:start w:val="1"/>
      <w:numFmt w:val="lowerLetter"/>
      <w:lvlText w:val="%5."/>
      <w:lvlJc w:val="left"/>
      <w:pPr>
        <w:ind w:left="3937" w:hanging="360"/>
      </w:pPr>
    </w:lvl>
    <w:lvl w:ilvl="5" w:tentative="1">
      <w:start w:val="1"/>
      <w:numFmt w:val="lowerRoman"/>
      <w:lvlText w:val="%6."/>
      <w:lvlJc w:val="right"/>
      <w:pPr>
        <w:ind w:left="4657" w:hanging="180"/>
      </w:pPr>
    </w:lvl>
    <w:lvl w:ilvl="6" w:tentative="1">
      <w:start w:val="1"/>
      <w:numFmt w:val="decimal"/>
      <w:lvlText w:val="%7."/>
      <w:lvlJc w:val="left"/>
      <w:pPr>
        <w:ind w:left="5377" w:hanging="360"/>
      </w:pPr>
    </w:lvl>
    <w:lvl w:ilvl="7" w:tentative="1">
      <w:start w:val="1"/>
      <w:numFmt w:val="lowerLetter"/>
      <w:lvlText w:val="%8."/>
      <w:lvlJc w:val="left"/>
      <w:pPr>
        <w:ind w:left="6097" w:hanging="360"/>
      </w:pPr>
    </w:lvl>
    <w:lvl w:ilvl="8" w:tentative="1">
      <w:start w:val="1"/>
      <w:numFmt w:val="lowerRoman"/>
      <w:lvlText w:val="%9."/>
      <w:lvlJc w:val="right"/>
      <w:pPr>
        <w:ind w:left="6817" w:hanging="180"/>
      </w:pPr>
    </w:lvl>
  </w:abstractNum>
  <w:abstractNum w:abstractNumId="1">
    <w:nsid w:val="0F8B04EC"/>
    <w:multiLevelType w:val="multilevel"/>
    <w:tmpl w:val="27E2930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64F72D2A"/>
    <w:multiLevelType w:val="multilevel"/>
    <w:tmpl w:val="A404DA1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73F971ED"/>
    <w:multiLevelType w:val="multilevel"/>
    <w:tmpl w:val="ACA47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 w:type="paragraph" w:styleId="ListParagraph">
    <w:name w:val="List Paragraph"/>
    <w:basedOn w:val="Normal"/>
    <w:uiPriority w:val="34"/>
    <w:qFormat/>
    <w:rsid w:val="00B776CA"/>
    <w:pPr>
      <w:ind w:left="720"/>
      <w:contextualSpacing/>
    </w:pPr>
  </w:style>
  <w:style w:type="paragraph" w:styleId="FootnoteText">
    <w:name w:val="footnote text"/>
    <w:basedOn w:val="Normal"/>
    <w:link w:val="a1"/>
    <w:uiPriority w:val="99"/>
    <w:semiHidden/>
    <w:unhideWhenUsed/>
    <w:rsid w:val="00931F0F"/>
    <w:rPr>
      <w:sz w:val="20"/>
      <w:szCs w:val="20"/>
    </w:rPr>
  </w:style>
  <w:style w:type="character" w:customStyle="1" w:styleId="a1">
    <w:name w:val="Текст сноски Знак"/>
    <w:basedOn w:val="DefaultParagraphFont"/>
    <w:link w:val="FootnoteText"/>
    <w:uiPriority w:val="99"/>
    <w:semiHidden/>
    <w:rsid w:val="00931F0F"/>
    <w:rPr>
      <w:color w:val="000000"/>
      <w:sz w:val="20"/>
      <w:szCs w:val="20"/>
    </w:rPr>
  </w:style>
  <w:style w:type="character" w:styleId="FootnoteReference">
    <w:name w:val="footnote reference"/>
    <w:basedOn w:val="DefaultParagraphFont"/>
    <w:uiPriority w:val="99"/>
    <w:semiHidden/>
    <w:unhideWhenUsed/>
    <w:rsid w:val="0093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B1FF-EA4A-4BA8-BB76-A79CE5D5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4516</Words>
  <Characters>25747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30203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4</cp:revision>
  <dcterms:created xsi:type="dcterms:W3CDTF">2018-05-24T11:16:00Z</dcterms:created>
  <dcterms:modified xsi:type="dcterms:W3CDTF">2018-05-24T11:21:00Z</dcterms:modified>
</cp:coreProperties>
</file>